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D52" w:rsidRDefault="00B80A2F">
      <w:pPr>
        <w:pStyle w:val="NormalWeb"/>
        <w:jc w:val="center"/>
        <w:rPr>
          <w:rFonts w:ascii="Arial" w:hAnsi="Arial" w:cs="Arial"/>
          <w:sz w:val="33"/>
          <w:szCs w:val="33"/>
        </w:rPr>
      </w:pPr>
      <w:r>
        <w:rPr>
          <w:rFonts w:ascii="Arial" w:hAnsi="Arial" w:cs="Arial"/>
          <w:sz w:val="33"/>
          <w:szCs w:val="33"/>
        </w:rPr>
        <w:t>Protocol of Auto Fluorescence HepG2 and HEK293 Cell-based Assay for High-throughput Screening</w:t>
      </w:r>
    </w:p>
    <w:p w:rsidR="00245D52" w:rsidRDefault="00245D52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2"/>
        <w:gridCol w:w="780"/>
        <w:gridCol w:w="7128"/>
      </w:tblGrid>
      <w:tr w:rsidR="00245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5D52" w:rsidRDefault="00B80A2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245D52" w:rsidRDefault="00245D52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45D52" w:rsidRDefault="00B80A2F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Auto Fluorescence_TOX21_SLP_Version1.0</w:t>
            </w:r>
          </w:p>
        </w:tc>
      </w:tr>
      <w:tr w:rsidR="00245D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245D52" w:rsidRDefault="00B80A2F">
            <w:pPr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245D52" w:rsidRDefault="00245D52">
            <w:pPr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245D52" w:rsidRDefault="00B80A2F">
            <w:pPr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Protocol of Auto Fluorescence HepG2 and HEK293 Cell-based Assay for High-throughput Screening</w:t>
            </w:r>
          </w:p>
        </w:tc>
      </w:tr>
    </w:tbl>
    <w:p w:rsidR="00245D52" w:rsidRDefault="00B80A2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40"/>
        <w:gridCol w:w="1025"/>
        <w:gridCol w:w="898"/>
        <w:gridCol w:w="1792"/>
        <w:gridCol w:w="1448"/>
        <w:gridCol w:w="1008"/>
        <w:gridCol w:w="1049"/>
      </w:tblGrid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Toxicity Pathway</w:t>
            </w:r>
          </w:p>
        </w:tc>
      </w:tr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Auto fluorescence of the compounds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HepG2 and HEK293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57E2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Hepatocellular</w:t>
            </w:r>
            <w:bookmarkStart w:id="0" w:name="_GoBack"/>
            <w:bookmarkEnd w:id="0"/>
            <w:r w:rsidR="00B80A2F">
              <w:rPr>
                <w:rFonts w:ascii="Arial" w:eastAsia="Times New Roman" w:hAnsi="Arial" w:cs="Arial"/>
                <w:sz w:val="20"/>
                <w:szCs w:val="20"/>
              </w:rPr>
              <w:t xml:space="preserve"> carcinoma and 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Fluorescence Intensity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</w:tbl>
    <w:p w:rsidR="00245D52" w:rsidRDefault="00245D52">
      <w:pPr>
        <w:rPr>
          <w:rFonts w:eastAsia="Times New Roman"/>
        </w:rPr>
      </w:pPr>
    </w:p>
    <w:p w:rsidR="00245D52" w:rsidRDefault="00B80A2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QUALITY CONTROL PRECAUTIONS:</w:t>
      </w:r>
    </w:p>
    <w:p w:rsidR="00245D52" w:rsidRDefault="00B80A2F" w:rsidP="00D03DC0">
      <w:pPr>
        <w:divId w:val="109301812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 -The</w:t>
      </w:r>
      <w:r w:rsidR="00D03DC0">
        <w:rPr>
          <w:rFonts w:ascii="Arial" w:eastAsia="Times New Roman" w:hAnsi="Arial" w:cs="Arial"/>
          <w:sz w:val="20"/>
          <w:szCs w:val="20"/>
        </w:rPr>
        <w:t xml:space="preserve"> assay should be performed in bla</w:t>
      </w:r>
      <w:r>
        <w:rPr>
          <w:rFonts w:ascii="Arial" w:eastAsia="Times New Roman" w:hAnsi="Arial" w:cs="Arial"/>
          <w:sz w:val="20"/>
          <w:szCs w:val="20"/>
        </w:rPr>
        <w:t xml:space="preserve">ck-clear bottom 1536 well plates, so the bottom of the plates should not be touched </w:t>
      </w:r>
    </w:p>
    <w:p w:rsidR="00245D52" w:rsidRDefault="00B80A2F">
      <w:pPr>
        <w:divId w:val="183490509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 -Cell culture is maintained by passaging twice a week and should not reach more than 90% confluence </w:t>
      </w:r>
    </w:p>
    <w:p w:rsidR="00245D52" w:rsidRDefault="00B80A2F">
      <w:pPr>
        <w:divId w:val="76881803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3. -Only the top 5 odd concentrations of the first day sets (NTP, EPA and NCTT) of compound plates were used for transferring to the assay plates</w:t>
      </w:r>
    </w:p>
    <w:p w:rsidR="00245D52" w:rsidRDefault="00B80A2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29"/>
        <w:gridCol w:w="2274"/>
        <w:gridCol w:w="2357"/>
      </w:tblGrid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Vender/Catalog Number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11995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Hyclone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/ SH30071.03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15140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-0.05% Trypsin-EDTA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25300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-Invitrogen / 12648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-Black-clear bottom 1536 well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-Greiner / 789092F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Multidrop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COMBI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Electron Corporation </w:t>
            </w:r>
          </w:p>
        </w:tc>
      </w:tr>
      <w:tr w:rsidR="00245D52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-Envision Plate Reader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-Perkin Elmer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-Perkin Elmer</w:t>
            </w:r>
          </w:p>
        </w:tc>
      </w:tr>
      <w:tr w:rsidR="00A25DEF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-Fluorescein (Green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-Sigma/F2456</w:t>
            </w:r>
          </w:p>
        </w:tc>
      </w:tr>
      <w:tr w:rsidR="00A25DEF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-Triamterene (Blue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-Sigma/T4143</w:t>
            </w:r>
          </w:p>
        </w:tc>
      </w:tr>
      <w:tr w:rsidR="00A25DEF" w:rsidTr="00A25DE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-Rose Bengal sodium (Red channel control compound)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DEF" w:rsidRDefault="00A25DE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-Sigma/11950</w:t>
            </w:r>
          </w:p>
        </w:tc>
      </w:tr>
    </w:tbl>
    <w:p w:rsidR="00245D52" w:rsidRDefault="00245D52">
      <w:pPr>
        <w:rPr>
          <w:rFonts w:eastAsia="Times New Roman"/>
        </w:rPr>
      </w:pPr>
    </w:p>
    <w:p w:rsidR="00245D52" w:rsidRDefault="00B80A2F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PROCEDURE:</w:t>
      </w:r>
    </w:p>
    <w:p w:rsidR="00245D52" w:rsidRDefault="00B80A2F">
      <w:pPr>
        <w:divId w:val="1809198285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 Cell handling:</w:t>
      </w:r>
    </w:p>
    <w:p w:rsidR="00245D52" w:rsidRDefault="00B80A2F">
      <w:pPr>
        <w:divId w:val="930742593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95"/>
        <w:gridCol w:w="1475"/>
        <w:gridCol w:w="1475"/>
        <w:gridCol w:w="1475"/>
        <w:gridCol w:w="1290"/>
      </w:tblGrid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Thaw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sz w:val="21"/>
                <w:szCs w:val="21"/>
              </w:rPr>
              <w:t>Freezing Medium</w:t>
            </w:r>
          </w:p>
        </w:tc>
      </w:tr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-90%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-Penicillin and 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-100U/ml and 100ug/ml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</w:tr>
      <w:tr w:rsidR="00245D5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-Recovery Cell Culture Freezing Medium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45D52" w:rsidRDefault="00B80A2F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-100%</w:t>
            </w:r>
          </w:p>
        </w:tc>
      </w:tr>
    </w:tbl>
    <w:p w:rsidR="00245D52" w:rsidRDefault="00B80A2F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1.2. Thawing method</w:t>
      </w:r>
    </w:p>
    <w:p w:rsidR="00245D52" w:rsidRDefault="00B80A2F">
      <w:pPr>
        <w:divId w:val="223688462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1.2.1 -1ml frozen cells of HEK293 were taken in pre-warmed 10ml of thaw/culture medium for centrifuging </w:t>
      </w:r>
    </w:p>
    <w:p w:rsidR="00245D52" w:rsidRDefault="00B80A2F">
      <w:pPr>
        <w:divId w:val="616760395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1.2.2 -Seed the cells at 2 million per T-75 flask with thaw/culture medium</w:t>
      </w:r>
    </w:p>
    <w:p w:rsidR="00245D52" w:rsidRDefault="00B80A2F">
      <w:pPr>
        <w:pStyle w:val="NormalWeb"/>
        <w:ind w:left="10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1.3. Propagation method</w:t>
      </w:r>
    </w:p>
    <w:p w:rsidR="00245D52" w:rsidRDefault="00B80A2F">
      <w:pPr>
        <w:divId w:val="68709870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1.3.1 -Detach the cells from the flask using 0.05% Trypsin </w:t>
      </w:r>
    </w:p>
    <w:p w:rsidR="00245D52" w:rsidRDefault="00B80A2F">
      <w:pPr>
        <w:divId w:val="990866413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1.3.2 -The cells are re-seeded in T-225 flask at 3 million</w:t>
      </w:r>
    </w:p>
    <w:p w:rsidR="00245D52" w:rsidRDefault="00B80A2F">
      <w:pPr>
        <w:pStyle w:val="NormalWeb"/>
        <w:ind w:left="75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Assay Protocol</w:t>
      </w:r>
    </w:p>
    <w:p w:rsidR="00245D52" w:rsidRDefault="00B80A2F">
      <w:pPr>
        <w:divId w:val="450172217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2.1 -Spin down the cells after rinsing the cells with DPBS and </w:t>
      </w:r>
      <w:proofErr w:type="spellStart"/>
      <w:r>
        <w:rPr>
          <w:rFonts w:ascii="Arial" w:eastAsia="Times New Roman" w:hAnsi="Arial" w:cs="Arial"/>
          <w:sz w:val="20"/>
          <w:szCs w:val="20"/>
        </w:rPr>
        <w:t>trypsinizing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45D52" w:rsidRDefault="00B80A2F">
      <w:pPr>
        <w:divId w:val="124121579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2.2 -</w:t>
      </w:r>
      <w:proofErr w:type="spellStart"/>
      <w:r>
        <w:rPr>
          <w:rFonts w:ascii="Arial" w:eastAsia="Times New Roman" w:hAnsi="Arial" w:cs="Arial"/>
          <w:sz w:val="20"/>
          <w:szCs w:val="20"/>
        </w:rPr>
        <w:t>Resuspend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the pellet with thaw/culture medium </w:t>
      </w:r>
    </w:p>
    <w:p w:rsidR="00245D52" w:rsidRDefault="00B80A2F">
      <w:pPr>
        <w:divId w:val="126091649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2.3 -Dispense cells in 55 plates of black-clear bottom 1536 well plate at 2000/well/5uL through 8 tip </w:t>
      </w:r>
      <w:proofErr w:type="spellStart"/>
      <w:r>
        <w:rPr>
          <w:rFonts w:ascii="Arial" w:eastAsia="Times New Roman" w:hAnsi="Arial" w:cs="Arial"/>
          <w:sz w:val="20"/>
          <w:szCs w:val="20"/>
        </w:rPr>
        <w:t>Multidrop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plate dispenser </w:t>
      </w:r>
    </w:p>
    <w:p w:rsidR="00245D52" w:rsidRDefault="00B80A2F">
      <w:pPr>
        <w:divId w:val="90114064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2.4 -Incubate at 37C for 5hrs </w:t>
      </w:r>
    </w:p>
    <w:p w:rsidR="00245D52" w:rsidRDefault="00B80A2F">
      <w:pPr>
        <w:divId w:val="1507671429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2.5 -Transfer 23nL of compounds from the library collections and positive contr</w:t>
      </w:r>
      <w:r w:rsidR="00D6072F">
        <w:rPr>
          <w:rFonts w:ascii="Arial" w:eastAsia="Times New Roman" w:hAnsi="Arial" w:cs="Arial"/>
          <w:sz w:val="20"/>
          <w:szCs w:val="20"/>
        </w:rPr>
        <w:t xml:space="preserve">ol to the assay plates through </w:t>
      </w:r>
      <w:proofErr w:type="spellStart"/>
      <w:r w:rsidR="00D6072F">
        <w:rPr>
          <w:rFonts w:ascii="Arial" w:eastAsia="Times New Roman" w:hAnsi="Arial" w:cs="Arial"/>
          <w:sz w:val="20"/>
          <w:szCs w:val="20"/>
        </w:rPr>
        <w:t>P</w:t>
      </w:r>
      <w:r>
        <w:rPr>
          <w:rFonts w:ascii="Arial" w:eastAsia="Times New Roman" w:hAnsi="Arial" w:cs="Arial"/>
          <w:sz w:val="20"/>
          <w:szCs w:val="20"/>
        </w:rPr>
        <w:t>intool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245D52" w:rsidRDefault="00D6072F">
      <w:pPr>
        <w:divId w:val="935213121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2.6 -Incubate at 37C for 16</w:t>
      </w:r>
      <w:r w:rsidR="00B80A2F">
        <w:rPr>
          <w:rFonts w:ascii="Arial" w:eastAsia="Times New Roman" w:hAnsi="Arial" w:cs="Arial"/>
          <w:sz w:val="20"/>
          <w:szCs w:val="20"/>
        </w:rPr>
        <w:t xml:space="preserve">hrs </w:t>
      </w:r>
    </w:p>
    <w:p w:rsidR="00245D52" w:rsidRDefault="00B80A2F">
      <w:pPr>
        <w:divId w:val="108384183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2.7 -Read the fluorescence intensity through Envision plate reader for Green (Ex/</w:t>
      </w:r>
      <w:proofErr w:type="spellStart"/>
      <w:r>
        <w:rPr>
          <w:rFonts w:ascii="Arial" w:eastAsia="Times New Roman" w:hAnsi="Arial" w:cs="Arial"/>
          <w:sz w:val="20"/>
          <w:szCs w:val="20"/>
        </w:rPr>
        <w:t>Em</w:t>
      </w:r>
      <w:proofErr w:type="spellEnd"/>
      <w:r>
        <w:rPr>
          <w:rFonts w:ascii="Arial" w:eastAsia="Times New Roman" w:hAnsi="Arial" w:cs="Arial"/>
          <w:sz w:val="20"/>
          <w:szCs w:val="20"/>
        </w:rPr>
        <w:t>- FITC485/535nm), Blue (Ex/Em-405/460nm) and Red (Ex/</w:t>
      </w:r>
      <w:proofErr w:type="spellStart"/>
      <w:r>
        <w:rPr>
          <w:rFonts w:ascii="Arial" w:eastAsia="Times New Roman" w:hAnsi="Arial" w:cs="Arial"/>
          <w:sz w:val="20"/>
          <w:szCs w:val="20"/>
        </w:rPr>
        <w:t>Em</w:t>
      </w:r>
      <w:proofErr w:type="spellEnd"/>
      <w:r>
        <w:rPr>
          <w:rFonts w:ascii="Arial" w:eastAsia="Times New Roman" w:hAnsi="Arial" w:cs="Arial"/>
          <w:sz w:val="20"/>
          <w:szCs w:val="20"/>
        </w:rPr>
        <w:t>- 540/590nm)</w:t>
      </w:r>
    </w:p>
    <w:p w:rsidR="00B80A2F" w:rsidRDefault="00B80A2F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r w:rsidR="00D762D9">
        <w:rPr>
          <w:rFonts w:eastAsia="Times New Roman"/>
        </w:rPr>
        <w:tab/>
        <w:t>3. Assay Performance</w:t>
      </w:r>
    </w:p>
    <w:tbl>
      <w:tblPr>
        <w:tblW w:w="9168" w:type="dxa"/>
        <w:tblInd w:w="126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20"/>
        <w:gridCol w:w="2568"/>
        <w:gridCol w:w="2430"/>
        <w:gridCol w:w="2250"/>
      </w:tblGrid>
      <w:tr w:rsidR="00D762D9" w:rsidRPr="00D762D9" w:rsidTr="00B46257">
        <w:trPr>
          <w:trHeight w:val="712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Auto-Fluorescence</w:t>
            </w:r>
          </w:p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(HEK 293 cells)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B46257" w:rsidRDefault="00B46257" w:rsidP="00D762D9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Triamterene</w:t>
            </w:r>
          </w:p>
          <w:p w:rsidR="00B46257" w:rsidRDefault="00B46257" w:rsidP="00D762D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D762D9"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Blue 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channel control)</w:t>
            </w:r>
          </w:p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Default="00D762D9" w:rsidP="00D762D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B46257" w:rsidRPr="00B46257" w:rsidRDefault="00B46257" w:rsidP="00D762D9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Fluorescein</w:t>
            </w:r>
          </w:p>
          <w:p w:rsidR="00B46257" w:rsidRDefault="00B46257" w:rsidP="00D762D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D762D9"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Green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channel control)</w:t>
            </w:r>
          </w:p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Default="00D762D9" w:rsidP="00D762D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Online Validation</w:t>
            </w:r>
          </w:p>
          <w:p w:rsidR="00B46257" w:rsidRDefault="00B46257" w:rsidP="00D762D9">
            <w:pPr>
              <w:jc w:val="center"/>
              <w:textAlignment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6257">
              <w:rPr>
                <w:rFonts w:ascii="Arial" w:eastAsia="Times New Roman" w:hAnsi="Arial" w:cs="Arial"/>
                <w:b/>
                <w:sz w:val="20"/>
                <w:szCs w:val="20"/>
              </w:rPr>
              <w:t>Rose Bengal sodium</w:t>
            </w:r>
          </w:p>
          <w:p w:rsidR="00B46257" w:rsidRDefault="00B46257" w:rsidP="00D762D9">
            <w:pPr>
              <w:jc w:val="center"/>
              <w:textAlignment w:val="center"/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</w:pP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(</w:t>
            </w:r>
            <w:r w:rsidR="00D762D9"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Red</w:t>
            </w:r>
            <w:r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 channel control)</w:t>
            </w:r>
          </w:p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 xml:space="preserve">(Mean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 xml:space="preserve"> </w:t>
            </w:r>
            <w:r w:rsidRPr="00D762D9">
              <w:rPr>
                <w:rFonts w:ascii="Arial" w:eastAsia="MS PGothic" w:hAnsi="Arial" w:cs="Arial"/>
                <w:b/>
                <w:bCs/>
                <w:color w:val="000000"/>
                <w:kern w:val="24"/>
                <w:sz w:val="20"/>
                <w:szCs w:val="20"/>
              </w:rPr>
              <w:t>SD)</w:t>
            </w:r>
          </w:p>
        </w:tc>
      </w:tr>
      <w:tr w:rsidR="00D762D9" w:rsidRPr="00D762D9" w:rsidTr="00B46257">
        <w:trPr>
          <w:trHeight w:val="424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EC50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NA</w:t>
            </w:r>
          </w:p>
        </w:tc>
      </w:tr>
      <w:tr w:rsidR="00D762D9" w:rsidRPr="00D762D9" w:rsidTr="00B46257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S/B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26.17 ±2.11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28.84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0.98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16.29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1.42</w:t>
            </w:r>
          </w:p>
        </w:tc>
      </w:tr>
      <w:tr w:rsidR="00D762D9" w:rsidRPr="00D762D9" w:rsidTr="00B46257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CV (%)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4.04 ±0.88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3.13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0.20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7.08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2.89</w:t>
            </w:r>
          </w:p>
        </w:tc>
      </w:tr>
      <w:tr w:rsidR="00D762D9" w:rsidRPr="00D762D9" w:rsidTr="00B46257">
        <w:trPr>
          <w:trHeight w:val="308"/>
        </w:trPr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Z’</w:t>
            </w:r>
          </w:p>
        </w:tc>
        <w:tc>
          <w:tcPr>
            <w:tcW w:w="2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>0.22 ±0.07</w:t>
            </w:r>
          </w:p>
        </w:tc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0.78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0.03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762D9" w:rsidRPr="00D762D9" w:rsidRDefault="00D762D9" w:rsidP="00D762D9">
            <w:pPr>
              <w:spacing w:line="308" w:lineRule="atLeast"/>
              <w:jc w:val="center"/>
              <w:textAlignment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D762D9">
              <w:rPr>
                <w:rFonts w:ascii="Arial" w:eastAsia="MS PGothic" w:hAnsi="Arial" w:cs="Arial"/>
                <w:color w:val="000000"/>
                <w:kern w:val="24"/>
                <w:sz w:val="20"/>
                <w:szCs w:val="20"/>
              </w:rPr>
              <w:t xml:space="preserve">0.68 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±</w:t>
            </w:r>
            <w:r w:rsidRPr="00D762D9">
              <w:rPr>
                <w:rFonts w:ascii="Arial" w:eastAsia="MS PGothic" w:hAnsi="MS PGothic" w:cs="Arial" w:hint="eastAsia"/>
                <w:color w:val="000000"/>
                <w:kern w:val="24"/>
                <w:sz w:val="20"/>
                <w:szCs w:val="20"/>
              </w:rPr>
              <w:t>0.05</w:t>
            </w:r>
          </w:p>
        </w:tc>
      </w:tr>
    </w:tbl>
    <w:p w:rsidR="00D762D9" w:rsidRDefault="00D762D9">
      <w:pPr>
        <w:spacing w:after="240"/>
        <w:rPr>
          <w:rFonts w:eastAsia="Times New Roman"/>
        </w:rPr>
      </w:pPr>
    </w:p>
    <w:p w:rsidR="00D762D9" w:rsidRDefault="00D762D9">
      <w:pPr>
        <w:spacing w:after="240"/>
        <w:rPr>
          <w:rFonts w:eastAsia="Times New Roman"/>
        </w:rPr>
      </w:pPr>
    </w:p>
    <w:p w:rsidR="00D762D9" w:rsidRDefault="00D762D9">
      <w:pPr>
        <w:spacing w:after="240"/>
        <w:rPr>
          <w:rFonts w:eastAsia="Times New Roman"/>
        </w:rPr>
      </w:pPr>
    </w:p>
    <w:sectPr w:rsidR="00D762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0A0135"/>
    <w:rsid w:val="000A0135"/>
    <w:rsid w:val="00245D52"/>
    <w:rsid w:val="00A25DEF"/>
    <w:rsid w:val="00B46257"/>
    <w:rsid w:val="00B57E2B"/>
    <w:rsid w:val="00B80A2F"/>
    <w:rsid w:val="00D03DC0"/>
    <w:rsid w:val="00D6072F"/>
    <w:rsid w:val="00D7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846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2217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395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70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03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4064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2593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1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41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83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8129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790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49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42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98285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092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Sakamuru, Srilatha (NIH/NCATS) [C]</dc:creator>
  <cp:lastModifiedBy>Sakamuru, Srilatha (NIH/NCATS) [C]</cp:lastModifiedBy>
  <cp:revision>8</cp:revision>
  <dcterms:created xsi:type="dcterms:W3CDTF">2016-02-11T21:18:00Z</dcterms:created>
  <dcterms:modified xsi:type="dcterms:W3CDTF">2016-02-17T17:58:00Z</dcterms:modified>
</cp:coreProperties>
</file>