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7F" w:rsidRPr="000F1B9F" w:rsidRDefault="00CE1ACF">
      <w:pPr>
        <w:pStyle w:val="NormalWeb"/>
        <w:jc w:val="center"/>
        <w:rPr>
          <w:rFonts w:asciiTheme="majorHAnsi" w:hAnsiTheme="majorHAnsi" w:cs="Arial"/>
          <w:sz w:val="32"/>
          <w:szCs w:val="32"/>
        </w:rPr>
      </w:pPr>
      <w:r w:rsidRPr="000F1B9F">
        <w:rPr>
          <w:rFonts w:asciiTheme="majorHAnsi" w:hAnsiTheme="majorHAnsi" w:cs="Arial"/>
          <w:sz w:val="32"/>
          <w:szCs w:val="32"/>
        </w:rPr>
        <w:t>Protocol of R</w:t>
      </w:r>
      <w:r w:rsidR="00013FC1" w:rsidRPr="000F1B9F">
        <w:rPr>
          <w:rFonts w:asciiTheme="majorHAnsi" w:hAnsiTheme="majorHAnsi" w:cs="Arial"/>
          <w:sz w:val="32"/>
          <w:szCs w:val="32"/>
        </w:rPr>
        <w:t>eal Time</w:t>
      </w:r>
      <w:r w:rsidRPr="000F1B9F">
        <w:rPr>
          <w:rFonts w:asciiTheme="majorHAnsi" w:hAnsiTheme="majorHAnsi" w:cs="Arial"/>
          <w:sz w:val="32"/>
          <w:szCs w:val="32"/>
        </w:rPr>
        <w:t xml:space="preserve"> Viability Assay </w:t>
      </w:r>
      <w:r w:rsidR="00013FC1" w:rsidRPr="000F1B9F">
        <w:rPr>
          <w:rFonts w:asciiTheme="majorHAnsi" w:hAnsiTheme="majorHAnsi" w:cs="Arial"/>
          <w:sz w:val="32"/>
          <w:szCs w:val="32"/>
        </w:rPr>
        <w:t>Using He</w:t>
      </w:r>
      <w:r w:rsidR="00CA7FBD">
        <w:rPr>
          <w:rFonts w:asciiTheme="majorHAnsi" w:hAnsiTheme="majorHAnsi" w:cs="Arial"/>
          <w:sz w:val="32"/>
          <w:szCs w:val="32"/>
        </w:rPr>
        <w:t>pG2</w:t>
      </w:r>
      <w:r w:rsidR="00013FC1" w:rsidRPr="000F1B9F">
        <w:rPr>
          <w:rFonts w:asciiTheme="majorHAnsi" w:hAnsiTheme="majorHAnsi" w:cs="Arial"/>
          <w:sz w:val="32"/>
          <w:szCs w:val="32"/>
        </w:rPr>
        <w:t xml:space="preserve"> Cell Line</w:t>
      </w:r>
    </w:p>
    <w:p w:rsidR="00A87B7F" w:rsidRDefault="00A87B7F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780"/>
        <w:gridCol w:w="4843"/>
      </w:tblGrid>
      <w:tr w:rsidR="00A87B7F" w:rsidRPr="000F1B9F" w:rsidTr="00013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bCs/>
                <w:sz w:val="20"/>
                <w:szCs w:val="20"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A87B7F" w:rsidRPr="000F1B9F" w:rsidRDefault="00A87B7F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RT Viability_TOX21_SLP_Version1.0</w:t>
            </w:r>
          </w:p>
        </w:tc>
      </w:tr>
      <w:tr w:rsidR="00A87B7F" w:rsidRPr="000F1B9F" w:rsidTr="00013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bCs/>
                <w:sz w:val="20"/>
                <w:szCs w:val="20"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A87B7F" w:rsidRPr="000F1B9F" w:rsidRDefault="00A87B7F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7B7F" w:rsidRPr="000F1B9F" w:rsidRDefault="00013FC1" w:rsidP="00CA7FBD">
            <w:pPr>
              <w:pStyle w:val="NormalWeb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F1B9F">
              <w:rPr>
                <w:rFonts w:asciiTheme="minorHAnsi" w:hAnsiTheme="minorHAnsi" w:cs="Arial"/>
                <w:sz w:val="20"/>
                <w:szCs w:val="20"/>
              </w:rPr>
              <w:t>Protocol of Real Time Viability Assay Using He</w:t>
            </w:r>
            <w:r w:rsidR="00CA7FBD">
              <w:rPr>
                <w:rFonts w:asciiTheme="minorHAnsi" w:hAnsiTheme="minorHAnsi" w:cs="Arial"/>
                <w:sz w:val="20"/>
                <w:szCs w:val="20"/>
              </w:rPr>
              <w:t>pG2</w:t>
            </w:r>
            <w:r w:rsidRPr="000F1B9F">
              <w:rPr>
                <w:rFonts w:asciiTheme="minorHAnsi" w:hAnsiTheme="minorHAnsi" w:cs="Arial"/>
                <w:sz w:val="20"/>
                <w:szCs w:val="20"/>
              </w:rPr>
              <w:t xml:space="preserve"> Cell Line</w:t>
            </w:r>
          </w:p>
        </w:tc>
      </w:tr>
    </w:tbl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18"/>
        <w:gridCol w:w="775"/>
        <w:gridCol w:w="785"/>
        <w:gridCol w:w="1539"/>
        <w:gridCol w:w="1557"/>
        <w:gridCol w:w="996"/>
        <w:gridCol w:w="1220"/>
      </w:tblGrid>
      <w:tr w:rsidR="00013FC1" w:rsidRPr="000F1B9F" w:rsidTr="00FD358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Toxicity Pathway</w:t>
            </w:r>
          </w:p>
        </w:tc>
      </w:tr>
      <w:tr w:rsidR="00FD3584" w:rsidRPr="000F1B9F" w:rsidTr="00FD358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0F1B9F" w:rsidRDefault="00FD3584" w:rsidP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 viability/Cytotoxicity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CA7FBD" w:rsidRDefault="00FD3584" w:rsidP="008F3E7F">
            <w:pPr>
              <w:jc w:val="center"/>
              <w:rPr>
                <w:rFonts w:asciiTheme="minorHAnsi" w:eastAsia="Times New Roman" w:hAnsiTheme="minorHAnsi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HepG2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CA7FBD" w:rsidRDefault="00FD3584" w:rsidP="008F3E7F">
            <w:pPr>
              <w:jc w:val="center"/>
              <w:rPr>
                <w:rFonts w:asciiTheme="minorHAnsi" w:eastAsia="Times New Roman" w:hAnsiTheme="minorHAnsi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CA7FBD" w:rsidRDefault="00FD3584" w:rsidP="008F3E7F">
            <w:pPr>
              <w:jc w:val="center"/>
              <w:rPr>
                <w:rFonts w:asciiTheme="minorHAnsi" w:eastAsia="Times New Roman" w:hAnsiTheme="minorHAnsi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Hepatocellular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0F1B9F" w:rsidRDefault="00FD3584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Luminescence /Fluorescence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0F1B9F" w:rsidRDefault="00FD3584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3584" w:rsidRPr="000F1B9F" w:rsidRDefault="00FD3584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Cytotoxicity</w:t>
            </w:r>
          </w:p>
        </w:tc>
      </w:tr>
    </w:tbl>
    <w:p w:rsidR="00A87B7F" w:rsidRPr="000F1B9F" w:rsidRDefault="00A87B7F">
      <w:pPr>
        <w:rPr>
          <w:rFonts w:asciiTheme="minorHAnsi" w:eastAsia="Times New Roman" w:hAnsiTheme="minorHAnsi"/>
          <w:sz w:val="20"/>
          <w:szCs w:val="20"/>
        </w:rPr>
      </w:pP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QUALITY CONTROL PRECAUTIONS:</w:t>
      </w:r>
    </w:p>
    <w:p w:rsidR="00A87B7F" w:rsidRPr="000F1B9F" w:rsidRDefault="00CE1ACF">
      <w:pPr>
        <w:divId w:val="18783370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Cells should be grown to reach 60 to 90% confluence.</w:t>
      </w: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85"/>
        <w:gridCol w:w="1439"/>
        <w:gridCol w:w="2174"/>
      </w:tblGrid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Vender/Catalog Number</w:t>
            </w:r>
          </w:p>
        </w:tc>
      </w:tr>
      <w:tr w:rsidR="00CA7FBD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0F1B9F" w:rsidRDefault="00CA7FBD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E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CA7FBD" w:rsidRDefault="00CA7FBD" w:rsidP="008F3E7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ATCC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CA7FBD" w:rsidRDefault="00CA7FBD" w:rsidP="008F3E7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30-2003</w:t>
            </w:r>
          </w:p>
        </w:tc>
      </w:tr>
      <w:tr w:rsidR="00CA7FBD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0F1B9F" w:rsidRDefault="00CA7FBD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CA7FBD" w:rsidRDefault="00CA7FBD" w:rsidP="008F3E7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Hyclone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7FBD" w:rsidRPr="00CA7FBD" w:rsidRDefault="00CA7FBD" w:rsidP="008F3E7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A7FBD">
              <w:rPr>
                <w:rFonts w:asciiTheme="minorHAnsi" w:eastAsia="Times New Roman" w:hAnsiTheme="minorHAnsi" w:cs="Arial"/>
                <w:sz w:val="20"/>
                <w:szCs w:val="20"/>
              </w:rPr>
              <w:t>SH30071-03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15140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DPBS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14190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 w:rsidP="00CA7FBD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0.</w:t>
            </w:r>
            <w:r w:rsidR="00CA7FBD">
              <w:rPr>
                <w:rFonts w:asciiTheme="minorHAnsi" w:eastAsia="Times New Roman" w:hAnsiTheme="minorHAnsi" w:cs="Arial"/>
                <w:sz w:val="20"/>
                <w:szCs w:val="20"/>
              </w:rPr>
              <w:t>2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5% Trypsin/EDTA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4E1EA4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Recovery 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Cell Culture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12648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CellTox</w:t>
            </w:r>
            <w:proofErr w:type="spellEnd"/>
            <w:r w:rsidR="000F1B9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Green Express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Cytotoxicity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G8731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RealTime</w:t>
            </w:r>
            <w:r w:rsidR="000F1B9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-</w:t>
            </w:r>
            <w:r w:rsidR="00013FC1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Glo</w:t>
            </w:r>
            <w:proofErr w:type="spellEnd"/>
            <w:r w:rsidR="00013FC1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MT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G9713 </w:t>
            </w:r>
          </w:p>
        </w:tc>
      </w:tr>
      <w:tr w:rsidR="00A87B7F" w:rsidRPr="000F1B9F" w:rsidTr="00CA7FB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Blackwall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, 1536</w:t>
            </w:r>
            <w:r w:rsidR="004E1EA4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well assay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Greiner </w:t>
            </w: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BioOne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789078</w:t>
            </w:r>
          </w:p>
        </w:tc>
      </w:tr>
    </w:tbl>
    <w:p w:rsidR="00A87B7F" w:rsidRPr="000F1B9F" w:rsidRDefault="00A87B7F">
      <w:pPr>
        <w:rPr>
          <w:rFonts w:asciiTheme="minorHAnsi" w:eastAsia="Times New Roman" w:hAnsiTheme="minorHAnsi"/>
          <w:sz w:val="20"/>
          <w:szCs w:val="20"/>
        </w:rPr>
      </w:pP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PROCEDURE:</w:t>
      </w:r>
    </w:p>
    <w:p w:rsidR="00A87B7F" w:rsidRPr="000F1B9F" w:rsidRDefault="00CE1ACF">
      <w:pPr>
        <w:divId w:val="397439044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 Cell handling:</w:t>
      </w:r>
    </w:p>
    <w:p w:rsidR="00A87B7F" w:rsidRPr="000F1B9F" w:rsidRDefault="00CE1ACF">
      <w:pPr>
        <w:divId w:val="26353512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6"/>
        <w:gridCol w:w="1528"/>
        <w:gridCol w:w="1371"/>
        <w:gridCol w:w="1353"/>
      </w:tblGrid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Thaw Medium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CA7FBD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E</w:t>
            </w:r>
            <w:r w:rsidR="00013FC1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</w:tr>
    </w:tbl>
    <w:p w:rsidR="00A87B7F" w:rsidRPr="000F1B9F" w:rsidRDefault="00CE1ACF">
      <w:pPr>
        <w:pStyle w:val="NormalWeb"/>
        <w:ind w:left="10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1.2. Thawing method</w:t>
      </w:r>
    </w:p>
    <w:p w:rsidR="00A87B7F" w:rsidRPr="000F1B9F" w:rsidRDefault="004E1EA4">
      <w:pPr>
        <w:divId w:val="107420815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Place 14 mL of pre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warmed thaw medium into a T75 flask</w:t>
      </w:r>
    </w:p>
    <w:p w:rsidR="00A87B7F" w:rsidRPr="000F1B9F" w:rsidRDefault="004E1EA4" w:rsidP="000F1B9F">
      <w:pPr>
        <w:divId w:val="416443997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Remove the vial of cells from liquid nitrogen and thaw rapidly by placing at 37°C in a water bath with gentle agitation for 1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2 minutes. Do not submerge vial in water.</w:t>
      </w:r>
    </w:p>
    <w:p w:rsidR="00A87B7F" w:rsidRPr="000F1B9F" w:rsidRDefault="004E1EA4">
      <w:pPr>
        <w:divId w:val="10961462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Decontaminate the vial by wiping with 70% ethanol before opening in a biological safety cabinet.</w:t>
      </w:r>
    </w:p>
    <w:p w:rsidR="00A87B7F" w:rsidRPr="000F1B9F" w:rsidRDefault="004E1EA4">
      <w:pPr>
        <w:divId w:val="1005746182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Transfer the vial contents dropwise into 10 mL of Thaw Medium in a sterile 15mL conical tub</w:t>
      </w:r>
    </w:p>
    <w:p w:rsidR="00A87B7F" w:rsidRPr="000F1B9F" w:rsidRDefault="004E1EA4">
      <w:pPr>
        <w:divId w:val="437912093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1.2.5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Centrifuge cells at 1000 rpm for 4 minutes and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resuspend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in thaw medium</w:t>
      </w:r>
    </w:p>
    <w:p w:rsidR="00A87B7F" w:rsidRPr="000F1B9F" w:rsidRDefault="004E1EA4">
      <w:pPr>
        <w:divId w:val="612635508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1.2.6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Transfer contents to the T75 tissue culture flask containing Thaw Medium and place flask in a humidified 37°C/5% CO2 incubator.</w:t>
      </w:r>
    </w:p>
    <w:p w:rsidR="00A87B7F" w:rsidRPr="000F1B9F" w:rsidRDefault="00CE1ACF">
      <w:pPr>
        <w:pStyle w:val="NormalWeb"/>
        <w:ind w:left="10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1.3. Propagation method</w:t>
      </w:r>
    </w:p>
    <w:p w:rsidR="00A87B7F" w:rsidRPr="000F1B9F" w:rsidRDefault="004E1EA4" w:rsidP="00CA7FBD">
      <w:pPr>
        <w:divId w:val="166096208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Aspirate medium</w:t>
      </w:r>
      <w:r w:rsidRPr="000F1B9F">
        <w:rPr>
          <w:rFonts w:asciiTheme="minorHAnsi" w:eastAsia="Times New Roman" w:hAnsiTheme="minorHAnsi" w:cs="Arial"/>
          <w:sz w:val="20"/>
          <w:szCs w:val="20"/>
        </w:rPr>
        <w:t>, rinse once in DPBS, add 0.</w:t>
      </w:r>
      <w:r w:rsidR="00CA7FBD">
        <w:rPr>
          <w:rFonts w:asciiTheme="minorHAnsi" w:eastAsia="Times New Roman" w:hAnsiTheme="minorHAnsi" w:cs="Arial"/>
          <w:sz w:val="20"/>
          <w:szCs w:val="20"/>
        </w:rPr>
        <w:t>2</w:t>
      </w:r>
      <w:r w:rsidRPr="000F1B9F">
        <w:rPr>
          <w:rFonts w:asciiTheme="minorHAnsi" w:eastAsia="Times New Roman" w:hAnsiTheme="minorHAnsi" w:cs="Arial"/>
          <w:sz w:val="20"/>
          <w:szCs w:val="20"/>
        </w:rPr>
        <w:t>5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% Trypsin/EDTA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and swirl to coat the cell evenly.</w:t>
      </w:r>
    </w:p>
    <w:p w:rsidR="00A87B7F" w:rsidRPr="000F1B9F" w:rsidRDefault="004E1EA4">
      <w:pPr>
        <w:divId w:val="135280601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Add an equal volume of Growth Medium to inactivate Trypsin after 2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3 minutes incubation at 37°C.</w:t>
      </w:r>
    </w:p>
    <w:p w:rsidR="00A87B7F" w:rsidRPr="000F1B9F" w:rsidRDefault="004E1EA4">
      <w:pPr>
        <w:divId w:val="404567686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Centrifuge cells at 1000 rpm for 4 minutes and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resuspend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in growth medium</w:t>
      </w:r>
    </w:p>
    <w:p w:rsidR="00A87B7F" w:rsidRPr="000F1B9F" w:rsidRDefault="004E1EA4" w:rsidP="004E1EA4">
      <w:pPr>
        <w:divId w:val="1073235866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Cell should be passage or fed at least twice a week.</w:t>
      </w:r>
    </w:p>
    <w:p w:rsidR="00A87B7F" w:rsidRPr="000F1B9F" w:rsidRDefault="00CE1ACF">
      <w:pPr>
        <w:pStyle w:val="NormalWeb"/>
        <w:ind w:left="7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2. Assay Protocol</w:t>
      </w:r>
    </w:p>
    <w:p w:rsidR="00A87B7F" w:rsidRPr="000F1B9F" w:rsidRDefault="002E3279" w:rsidP="00CA7FBD">
      <w:pPr>
        <w:ind w:left="390"/>
        <w:divId w:val="14320524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Harvest He</w:t>
      </w:r>
      <w:r w:rsidR="00CA7FBD">
        <w:rPr>
          <w:rFonts w:asciiTheme="minorHAnsi" w:eastAsia="Times New Roman" w:hAnsiTheme="minorHAnsi" w:cs="Arial"/>
          <w:sz w:val="20"/>
          <w:szCs w:val="20"/>
        </w:rPr>
        <w:t>pG2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cells and adjust the cell density to 600cells/well/6uL.</w:t>
      </w:r>
    </w:p>
    <w:p w:rsidR="00A87B7F" w:rsidRPr="000F1B9F" w:rsidRDefault="004E1EA4" w:rsidP="00133B00">
      <w:pPr>
        <w:ind w:left="390"/>
        <w:divId w:val="394011338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To prepare mixture of cell suspension and reagents for one 1536well plate, add 10ul of 1000x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CellTox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Green dye, 10ul of 1000x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NanoLuc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, and 10ul of 1000x Metabolic Cell Viability Substrate per 10ml of cell suspension. This dilution brings </w:t>
      </w:r>
      <w:r w:rsidRPr="000F1B9F">
        <w:rPr>
          <w:rFonts w:asciiTheme="minorHAnsi" w:eastAsia="Times New Roman" w:hAnsiTheme="minorHAnsi" w:cs="Arial"/>
          <w:sz w:val="20"/>
          <w:szCs w:val="20"/>
        </w:rPr>
        <w:t xml:space="preserve">  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each component to 1x concentration.</w:t>
      </w:r>
    </w:p>
    <w:p w:rsidR="00A87B7F" w:rsidRPr="000F1B9F" w:rsidRDefault="004E1EA4" w:rsidP="00133B00">
      <w:pPr>
        <w:ind w:left="390"/>
        <w:divId w:val="112735292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Plate 6ul of mixture of reagents and cell suspension prepared in step 2 into each wells of 1536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well tissue culture treated black solid bottom plate using a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Multidrop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Dispenser.</w:t>
      </w:r>
    </w:p>
    <w:p w:rsidR="00A87B7F" w:rsidRPr="000F1B9F" w:rsidRDefault="004E1EA4" w:rsidP="00133B00">
      <w:pPr>
        <w:ind w:left="390"/>
        <w:divId w:val="103653933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After the cells were incubated at 37°C for 5 hours, 23 </w:t>
      </w:r>
      <w:proofErr w:type="spellStart"/>
      <w:proofErr w:type="gram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nL</w:t>
      </w:r>
      <w:proofErr w:type="spellEnd"/>
      <w:proofErr w:type="gram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of compounds dissolved in DMSO, positive controls or DMSO were transferred to the assay plate by a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PinTool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resulting in a 217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fold dilution. </w:t>
      </w:r>
    </w:p>
    <w:p w:rsidR="00A87B7F" w:rsidRPr="000F1B9F" w:rsidRDefault="004E1EA4" w:rsidP="00133B00">
      <w:pPr>
        <w:ind w:left="390"/>
        <w:divId w:val="187140780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2.5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Incubate the plates at 37C, 5% CO2</w:t>
      </w:r>
    </w:p>
    <w:p w:rsidR="00A87B7F" w:rsidRPr="000F1B9F" w:rsidRDefault="004E1EA4" w:rsidP="00133B00">
      <w:pPr>
        <w:ind w:left="390"/>
        <w:divId w:val="170879250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2.6</w:t>
      </w:r>
      <w:r w:rsidR="002E3279" w:rsidRPr="000F1B9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Measure fluorescence or luminescence after pinning at 0h, 8h, 16h, 24h, 32h and 40h time points by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ViewLux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>.</w:t>
      </w:r>
    </w:p>
    <w:p w:rsidR="00CE1ACF" w:rsidRPr="000F1B9F" w:rsidRDefault="00CE1ACF" w:rsidP="00133B00">
      <w:pPr>
        <w:spacing w:after="240"/>
        <w:ind w:left="720"/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0F1B9F">
        <w:rPr>
          <w:rFonts w:asciiTheme="minorHAnsi" w:eastAsia="Times New Roman" w:hAnsiTheme="minorHAnsi"/>
          <w:sz w:val="20"/>
          <w:szCs w:val="20"/>
        </w:rPr>
        <w:br/>
      </w:r>
      <w:r w:rsidR="00133B00" w:rsidRPr="000F1B9F">
        <w:rPr>
          <w:rFonts w:asciiTheme="minorHAnsi" w:eastAsia="Times New Roman" w:hAnsiTheme="minorHAnsi" w:cs="Arial"/>
          <w:color w:val="000000"/>
          <w:sz w:val="20"/>
          <w:szCs w:val="20"/>
        </w:rPr>
        <w:t>3. Assay Performance</w:t>
      </w:r>
    </w:p>
    <w:p w:rsidR="004E1EA4" w:rsidRPr="00CA7FBD" w:rsidRDefault="004E1EA4" w:rsidP="004E1EA4">
      <w:pPr>
        <w:pStyle w:val="ListParagraph"/>
        <w:numPr>
          <w:ilvl w:val="0"/>
          <w:numId w:val="1"/>
        </w:numPr>
        <w:spacing w:after="240"/>
        <w:rPr>
          <w:rFonts w:asciiTheme="minorHAnsi" w:eastAsia="Times New Roman" w:hAnsiTheme="minorHAnsi"/>
          <w:sz w:val="20"/>
          <w:szCs w:val="20"/>
        </w:rPr>
      </w:pPr>
      <w:proofErr w:type="spellStart"/>
      <w:r w:rsidRPr="000F1B9F">
        <w:rPr>
          <w:rFonts w:asciiTheme="minorHAnsi" w:eastAsia="Times New Roman" w:hAnsiTheme="minorHAnsi"/>
          <w:bCs/>
          <w:sz w:val="20"/>
          <w:szCs w:val="20"/>
        </w:rPr>
        <w:t>RealTime-Glo</w:t>
      </w:r>
      <w:proofErr w:type="spellEnd"/>
      <w:r w:rsidRPr="000F1B9F">
        <w:rPr>
          <w:rFonts w:asciiTheme="minorHAnsi" w:eastAsia="Times New Roman" w:hAnsiTheme="minorHAnsi"/>
          <w:bCs/>
          <w:sz w:val="20"/>
          <w:szCs w:val="20"/>
        </w:rPr>
        <w:t>™ MT Cell Viability Assay</w:t>
      </w:r>
    </w:p>
    <w:p w:rsidR="004E1EA4" w:rsidRPr="000F1B9F" w:rsidRDefault="00CA7FBD" w:rsidP="00CA7FBD">
      <w:pPr>
        <w:spacing w:after="240"/>
        <w:ind w:left="1440"/>
        <w:rPr>
          <w:rFonts w:asciiTheme="minorHAnsi" w:eastAsia="Times New Roman" w:hAnsiTheme="minorHAnsi"/>
          <w:sz w:val="20"/>
          <w:szCs w:val="20"/>
        </w:rPr>
      </w:pPr>
      <w:r>
        <w:rPr>
          <w:rFonts w:eastAsia="Times New Roman"/>
          <w:noProof/>
        </w:rPr>
        <w:drawing>
          <wp:inline distT="0" distB="0" distL="0" distR="0" wp14:anchorId="385F36D9" wp14:editId="37C7F2B5">
            <wp:extent cx="5352757" cy="949569"/>
            <wp:effectExtent l="0" t="0" r="63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605" cy="950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1EA4" w:rsidRPr="000F1B9F" w:rsidRDefault="004E1EA4" w:rsidP="004E1EA4">
      <w:pPr>
        <w:pStyle w:val="ListParagraph"/>
        <w:numPr>
          <w:ilvl w:val="0"/>
          <w:numId w:val="1"/>
        </w:numPr>
        <w:spacing w:after="240"/>
        <w:rPr>
          <w:rFonts w:asciiTheme="minorHAnsi" w:eastAsia="Times New Roman" w:hAnsiTheme="minorHAnsi"/>
          <w:sz w:val="20"/>
          <w:szCs w:val="20"/>
        </w:rPr>
      </w:pPr>
      <w:proofErr w:type="spellStart"/>
      <w:r w:rsidRPr="000F1B9F">
        <w:rPr>
          <w:rFonts w:asciiTheme="minorHAnsi" w:eastAsia="Times New Roman" w:hAnsiTheme="minorHAnsi"/>
          <w:bCs/>
          <w:sz w:val="20"/>
          <w:szCs w:val="20"/>
        </w:rPr>
        <w:t>CellTox</w:t>
      </w:r>
      <w:proofErr w:type="spellEnd"/>
      <w:r w:rsidRPr="000F1B9F">
        <w:rPr>
          <w:rFonts w:asciiTheme="minorHAnsi" w:eastAsia="Times New Roman" w:hAnsiTheme="minorHAnsi"/>
          <w:bCs/>
          <w:sz w:val="20"/>
          <w:szCs w:val="20"/>
        </w:rPr>
        <w:t>™ Green Cytotoxicity Assay</w:t>
      </w:r>
    </w:p>
    <w:p w:rsidR="004E1EA4" w:rsidRPr="004E1EA4" w:rsidRDefault="00CA7FBD" w:rsidP="00BC3EB6">
      <w:pPr>
        <w:spacing w:after="240"/>
        <w:ind w:left="1440"/>
        <w:rPr>
          <w:rFonts w:asciiTheme="minorHAnsi" w:eastAsia="Times New Roman" w:hAnsiTheme="minorHAnsi"/>
          <w:sz w:val="20"/>
          <w:szCs w:val="20"/>
        </w:rPr>
      </w:pPr>
      <w:r>
        <w:rPr>
          <w:rFonts w:asciiTheme="minorHAnsi" w:eastAsia="Times New Roman" w:hAnsiTheme="minorHAnsi"/>
          <w:noProof/>
          <w:sz w:val="20"/>
          <w:szCs w:val="20"/>
        </w:rPr>
        <w:drawing>
          <wp:inline distT="0" distB="0" distL="0" distR="0" wp14:anchorId="0843AAF3">
            <wp:extent cx="5332908" cy="949569"/>
            <wp:effectExtent l="0" t="0" r="127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147" cy="95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1EA4" w:rsidRPr="004E1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531A"/>
    <w:multiLevelType w:val="hybridMultilevel"/>
    <w:tmpl w:val="C778BF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3E3371"/>
    <w:multiLevelType w:val="hybridMultilevel"/>
    <w:tmpl w:val="647444C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514"/>
    <w:rsid w:val="00013FC1"/>
    <w:rsid w:val="000F1B9F"/>
    <w:rsid w:val="00133B00"/>
    <w:rsid w:val="002E3279"/>
    <w:rsid w:val="00403C4F"/>
    <w:rsid w:val="004E1EA4"/>
    <w:rsid w:val="00782C4A"/>
    <w:rsid w:val="00A87B7F"/>
    <w:rsid w:val="00BC3EB6"/>
    <w:rsid w:val="00CA7FBD"/>
    <w:rsid w:val="00CE1ACF"/>
    <w:rsid w:val="00D32514"/>
    <w:rsid w:val="00FD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E1E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E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B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E1E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E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46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24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370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1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3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04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68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9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09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50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18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33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86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815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92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08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5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Zhao</dc:creator>
  <cp:lastModifiedBy>Jean Zhao</cp:lastModifiedBy>
  <cp:revision>2</cp:revision>
  <dcterms:created xsi:type="dcterms:W3CDTF">2016-09-20T15:54:00Z</dcterms:created>
  <dcterms:modified xsi:type="dcterms:W3CDTF">2016-09-20T15:54:00Z</dcterms:modified>
</cp:coreProperties>
</file>