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7F" w:rsidRPr="000F1B9F" w:rsidRDefault="00CE1ACF">
      <w:pPr>
        <w:pStyle w:val="NormalWeb"/>
        <w:jc w:val="center"/>
        <w:rPr>
          <w:rFonts w:asciiTheme="majorHAnsi" w:hAnsiTheme="majorHAnsi" w:cs="Arial"/>
          <w:sz w:val="32"/>
          <w:szCs w:val="32"/>
        </w:rPr>
      </w:pPr>
      <w:r w:rsidRPr="000F1B9F">
        <w:rPr>
          <w:rFonts w:asciiTheme="majorHAnsi" w:hAnsiTheme="majorHAnsi" w:cs="Arial"/>
          <w:sz w:val="32"/>
          <w:szCs w:val="32"/>
        </w:rPr>
        <w:t>Protocol of R</w:t>
      </w:r>
      <w:r w:rsidR="00013FC1" w:rsidRPr="000F1B9F">
        <w:rPr>
          <w:rFonts w:asciiTheme="majorHAnsi" w:hAnsiTheme="majorHAnsi" w:cs="Arial"/>
          <w:sz w:val="32"/>
          <w:szCs w:val="32"/>
        </w:rPr>
        <w:t>eal Time</w:t>
      </w:r>
      <w:r w:rsidRPr="000F1B9F">
        <w:rPr>
          <w:rFonts w:asciiTheme="majorHAnsi" w:hAnsiTheme="majorHAnsi" w:cs="Arial"/>
          <w:sz w:val="32"/>
          <w:szCs w:val="32"/>
        </w:rPr>
        <w:t xml:space="preserve"> Viability Assay </w:t>
      </w:r>
      <w:r w:rsidR="00013FC1" w:rsidRPr="000F1B9F">
        <w:rPr>
          <w:rFonts w:asciiTheme="majorHAnsi" w:hAnsiTheme="majorHAnsi" w:cs="Arial"/>
          <w:sz w:val="32"/>
          <w:szCs w:val="32"/>
        </w:rPr>
        <w:t>Using Hek293 Cell Line</w:t>
      </w:r>
    </w:p>
    <w:p w:rsidR="00A87B7F" w:rsidRDefault="00A87B7F">
      <w:pPr>
        <w:spacing w:after="240"/>
        <w:rPr>
          <w:rFonts w:eastAsia="Times New Roman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5"/>
        <w:gridCol w:w="780"/>
        <w:gridCol w:w="4906"/>
      </w:tblGrid>
      <w:tr w:rsidR="00A87B7F" w:rsidRPr="000F1B9F" w:rsidTr="00013FC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7B7F" w:rsidRPr="000F1B9F" w:rsidRDefault="00CE1ACF">
            <w:pPr>
              <w:rPr>
                <w:rFonts w:asciiTheme="minorHAnsi" w:eastAsia="Times New Roman" w:hAnsiTheme="minorHAnsi" w:cs="Arial"/>
                <w:bCs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bCs/>
                <w:sz w:val="20"/>
                <w:szCs w:val="20"/>
              </w:rPr>
              <w:t xml:space="preserve">DOCUMENT: </w:t>
            </w:r>
          </w:p>
        </w:tc>
        <w:tc>
          <w:tcPr>
            <w:tcW w:w="750" w:type="dxa"/>
            <w:vAlign w:val="center"/>
            <w:hideMark/>
          </w:tcPr>
          <w:p w:rsidR="00A87B7F" w:rsidRPr="000F1B9F" w:rsidRDefault="00A87B7F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87B7F" w:rsidRPr="000F1B9F" w:rsidRDefault="00CE1ACF">
            <w:pPr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RT Viability_TOX21_SLP_Version1.0</w:t>
            </w:r>
          </w:p>
        </w:tc>
      </w:tr>
      <w:tr w:rsidR="00A87B7F" w:rsidRPr="000F1B9F" w:rsidTr="00013FC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7B7F" w:rsidRPr="000F1B9F" w:rsidRDefault="00CE1ACF">
            <w:pPr>
              <w:rPr>
                <w:rFonts w:asciiTheme="minorHAnsi" w:eastAsia="Times New Roman" w:hAnsiTheme="minorHAnsi" w:cs="Arial"/>
                <w:bCs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bCs/>
                <w:sz w:val="20"/>
                <w:szCs w:val="20"/>
              </w:rPr>
              <w:t xml:space="preserve">TITLE: </w:t>
            </w:r>
          </w:p>
        </w:tc>
        <w:tc>
          <w:tcPr>
            <w:tcW w:w="750" w:type="dxa"/>
            <w:vAlign w:val="center"/>
            <w:hideMark/>
          </w:tcPr>
          <w:p w:rsidR="00A87B7F" w:rsidRPr="000F1B9F" w:rsidRDefault="00A87B7F">
            <w:pPr>
              <w:rPr>
                <w:rFonts w:asciiTheme="minorHAnsi" w:eastAsia="Times New Roman" w:hAnsi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87B7F" w:rsidRPr="000F1B9F" w:rsidRDefault="00013FC1" w:rsidP="00013FC1">
            <w:pPr>
              <w:pStyle w:val="NormalWeb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0F1B9F">
              <w:rPr>
                <w:rFonts w:asciiTheme="minorHAnsi" w:hAnsiTheme="minorHAnsi" w:cs="Arial"/>
                <w:sz w:val="20"/>
                <w:szCs w:val="20"/>
              </w:rPr>
              <w:t>Protocol of Real Time Viability Assay Using Hek293 Cell Line</w:t>
            </w:r>
          </w:p>
        </w:tc>
      </w:tr>
    </w:tbl>
    <w:p w:rsidR="00A87B7F" w:rsidRPr="000F1B9F" w:rsidRDefault="00CE1ACF">
      <w:pPr>
        <w:pStyle w:val="NormalWeb"/>
        <w:rPr>
          <w:rFonts w:asciiTheme="minorHAnsi" w:hAnsiTheme="minorHAnsi" w:cs="Arial"/>
          <w:bCs/>
          <w:sz w:val="20"/>
          <w:szCs w:val="20"/>
        </w:rPr>
      </w:pPr>
      <w:r w:rsidRPr="000F1B9F">
        <w:rPr>
          <w:rFonts w:asciiTheme="minorHAnsi" w:hAnsiTheme="minorHAnsi" w:cs="Arial"/>
          <w:bCs/>
          <w:sz w:val="20"/>
          <w:szCs w:val="20"/>
        </w:rPr>
        <w:t>ASSAY RFERENCES: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46"/>
        <w:gridCol w:w="919"/>
        <w:gridCol w:w="785"/>
        <w:gridCol w:w="1201"/>
        <w:gridCol w:w="1653"/>
        <w:gridCol w:w="1033"/>
        <w:gridCol w:w="1253"/>
      </w:tblGrid>
      <w:tr w:rsidR="00013FC1" w:rsidRPr="000F1B9F" w:rsidTr="00013F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Assay Target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Cell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Species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Tissue of Origin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Assay Readout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Assay Provider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Toxicity Pathway</w:t>
            </w:r>
          </w:p>
        </w:tc>
      </w:tr>
      <w:tr w:rsidR="00013FC1" w:rsidRPr="000F1B9F" w:rsidTr="00013F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013FC1" w:rsidP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Cell viability/</w:t>
            </w:r>
            <w:r w:rsidR="00CE1ACF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Cytotoxicity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Hek293 (WT)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Human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Embryonic kidney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L</w:t>
            </w: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uminescence</w:t>
            </w: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/</w:t>
            </w:r>
            <w:r w:rsidR="00CE1ACF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Fluorescence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Promega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Cytotoxicity</w:t>
            </w:r>
          </w:p>
        </w:tc>
      </w:tr>
    </w:tbl>
    <w:p w:rsidR="00A87B7F" w:rsidRPr="000F1B9F" w:rsidRDefault="00A87B7F">
      <w:pPr>
        <w:rPr>
          <w:rFonts w:asciiTheme="minorHAnsi" w:eastAsia="Times New Roman" w:hAnsiTheme="minorHAnsi"/>
          <w:sz w:val="20"/>
          <w:szCs w:val="20"/>
        </w:rPr>
      </w:pPr>
    </w:p>
    <w:p w:rsidR="00A87B7F" w:rsidRPr="000F1B9F" w:rsidRDefault="00CE1ACF">
      <w:pPr>
        <w:pStyle w:val="NormalWeb"/>
        <w:rPr>
          <w:rFonts w:asciiTheme="minorHAnsi" w:hAnsiTheme="minorHAnsi" w:cs="Arial"/>
          <w:bCs/>
          <w:sz w:val="20"/>
          <w:szCs w:val="20"/>
        </w:rPr>
      </w:pPr>
      <w:r w:rsidRPr="000F1B9F">
        <w:rPr>
          <w:rFonts w:asciiTheme="minorHAnsi" w:hAnsiTheme="minorHAnsi" w:cs="Arial"/>
          <w:bCs/>
          <w:sz w:val="20"/>
          <w:szCs w:val="20"/>
        </w:rPr>
        <w:t>QUALITY CONTROL PRECAUTIONS:</w:t>
      </w:r>
    </w:p>
    <w:p w:rsidR="00A87B7F" w:rsidRPr="000F1B9F" w:rsidRDefault="00CE1ACF">
      <w:pPr>
        <w:divId w:val="187833700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>Cells should be grown to reach 60 to 90% confluence.</w:t>
      </w:r>
    </w:p>
    <w:p w:rsidR="00A87B7F" w:rsidRPr="000F1B9F" w:rsidRDefault="00CE1ACF">
      <w:pPr>
        <w:pStyle w:val="NormalWeb"/>
        <w:rPr>
          <w:rFonts w:asciiTheme="minorHAnsi" w:hAnsiTheme="minorHAnsi" w:cs="Arial"/>
          <w:bCs/>
          <w:sz w:val="20"/>
          <w:szCs w:val="20"/>
        </w:rPr>
      </w:pPr>
      <w:r w:rsidRPr="000F1B9F">
        <w:rPr>
          <w:rFonts w:asciiTheme="minorHAnsi" w:hAnsiTheme="minorHAnsi" w:cs="Arial"/>
          <w:bCs/>
          <w:sz w:val="20"/>
          <w:szCs w:val="20"/>
        </w:rPr>
        <w:t>MATERIALS and INSTRUMENTS:</w:t>
      </w:r>
    </w:p>
    <w:tbl>
      <w:tblPr>
        <w:tblW w:w="0" w:type="auto"/>
        <w:tblCellSpacing w:w="0" w:type="dxa"/>
        <w:tblInd w:w="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485"/>
        <w:gridCol w:w="1439"/>
        <w:gridCol w:w="2174"/>
      </w:tblGrid>
      <w:tr w:rsidR="00A87B7F" w:rsidRPr="000F1B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Supplies/Medium/Reagent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Manufacturer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Vender/Catalog Number</w:t>
            </w:r>
          </w:p>
        </w:tc>
      </w:tr>
      <w:tr w:rsidR="00A87B7F" w:rsidRPr="000F1B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11995 </w:t>
            </w:r>
          </w:p>
        </w:tc>
      </w:tr>
      <w:tr w:rsidR="00A87B7F" w:rsidRPr="000F1B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26140 </w:t>
            </w:r>
          </w:p>
        </w:tc>
      </w:tr>
      <w:tr w:rsidR="00A87B7F" w:rsidRPr="000F1B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Penicillin/Streptomycin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15140 </w:t>
            </w:r>
          </w:p>
        </w:tc>
      </w:tr>
      <w:tr w:rsidR="00A87B7F" w:rsidRPr="000F1B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DPBS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14190 </w:t>
            </w:r>
          </w:p>
        </w:tc>
      </w:tr>
      <w:tr w:rsidR="00A87B7F" w:rsidRPr="000F1B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0.05% Trypsin/EDTA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</w:p>
        </w:tc>
      </w:tr>
      <w:tr w:rsidR="00A87B7F" w:rsidRPr="000F1B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4E1EA4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Recovery </w:t>
            </w:r>
            <w:r w:rsidR="00CE1ACF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Cell Culture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Invitrogen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12648 </w:t>
            </w:r>
          </w:p>
        </w:tc>
      </w:tr>
      <w:tr w:rsidR="00A87B7F" w:rsidRPr="000F1B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CellTox</w:t>
            </w:r>
            <w:proofErr w:type="spellEnd"/>
            <w:r w:rsidR="000F1B9F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Green Express</w:t>
            </w:r>
            <w:r w:rsidR="00CE1ACF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Cytotoxicity Assay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Promega</w:t>
            </w:r>
            <w:proofErr w:type="spellEnd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G8731 </w:t>
            </w:r>
          </w:p>
        </w:tc>
      </w:tr>
      <w:tr w:rsidR="00A87B7F" w:rsidRPr="000F1B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RealTime</w:t>
            </w:r>
            <w:r w:rsidR="000F1B9F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-</w:t>
            </w:r>
            <w:r w:rsidR="00013FC1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Glo</w:t>
            </w:r>
            <w:proofErr w:type="spellEnd"/>
            <w:r w:rsidR="00013FC1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MT Cell Viability Assay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Promega</w:t>
            </w:r>
            <w:proofErr w:type="spellEnd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G9713 </w:t>
            </w:r>
          </w:p>
        </w:tc>
      </w:tr>
      <w:tr w:rsidR="00A87B7F" w:rsidRPr="000F1B9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Blackwall</w:t>
            </w:r>
            <w:proofErr w:type="spellEnd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, 1536</w:t>
            </w:r>
            <w:r w:rsidR="004E1EA4"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well assay plates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Greiner </w:t>
            </w:r>
            <w:proofErr w:type="spellStart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BioOne</w:t>
            </w:r>
            <w:proofErr w:type="spellEnd"/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7B7F" w:rsidRPr="000F1B9F" w:rsidRDefault="00CE1ACF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789078</w:t>
            </w:r>
          </w:p>
        </w:tc>
      </w:tr>
    </w:tbl>
    <w:p w:rsidR="00A87B7F" w:rsidRPr="000F1B9F" w:rsidRDefault="00A87B7F">
      <w:pPr>
        <w:rPr>
          <w:rFonts w:asciiTheme="minorHAnsi" w:eastAsia="Times New Roman" w:hAnsiTheme="minorHAnsi"/>
          <w:sz w:val="20"/>
          <w:szCs w:val="20"/>
        </w:rPr>
      </w:pPr>
    </w:p>
    <w:p w:rsidR="00A87B7F" w:rsidRPr="000F1B9F" w:rsidRDefault="00CE1ACF">
      <w:pPr>
        <w:pStyle w:val="NormalWeb"/>
        <w:rPr>
          <w:rFonts w:asciiTheme="minorHAnsi" w:hAnsiTheme="minorHAnsi" w:cs="Arial"/>
          <w:bCs/>
          <w:sz w:val="20"/>
          <w:szCs w:val="20"/>
        </w:rPr>
      </w:pPr>
      <w:r w:rsidRPr="000F1B9F">
        <w:rPr>
          <w:rFonts w:asciiTheme="minorHAnsi" w:hAnsiTheme="minorHAnsi" w:cs="Arial"/>
          <w:bCs/>
          <w:sz w:val="20"/>
          <w:szCs w:val="20"/>
        </w:rPr>
        <w:t>PROCEDURE:</w:t>
      </w:r>
    </w:p>
    <w:p w:rsidR="00A87B7F" w:rsidRPr="000F1B9F" w:rsidRDefault="00CE1ACF">
      <w:pPr>
        <w:divId w:val="397439044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>1. Cell handling:</w:t>
      </w:r>
    </w:p>
    <w:p w:rsidR="00A87B7F" w:rsidRPr="000F1B9F" w:rsidRDefault="00CE1ACF">
      <w:pPr>
        <w:divId w:val="263535121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>1.1. Media Required:</w:t>
      </w:r>
    </w:p>
    <w:tbl>
      <w:tblPr>
        <w:tblW w:w="0" w:type="auto"/>
        <w:tblCellSpacing w:w="0" w:type="dxa"/>
        <w:tblInd w:w="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76"/>
        <w:gridCol w:w="1528"/>
        <w:gridCol w:w="1371"/>
        <w:gridCol w:w="1353"/>
      </w:tblGrid>
      <w:tr w:rsidR="00013FC1" w:rsidRPr="000F1B9F" w:rsidTr="00013F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Component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Growth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Assay Medium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>Thaw Medium</w:t>
            </w:r>
          </w:p>
        </w:tc>
      </w:tr>
      <w:tr w:rsidR="00013FC1" w:rsidRPr="000F1B9F" w:rsidTr="00013F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DMEM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89%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89%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89% </w:t>
            </w:r>
          </w:p>
        </w:tc>
      </w:tr>
      <w:tr w:rsidR="00013FC1" w:rsidRPr="000F1B9F" w:rsidTr="00013F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Fetal bovine serum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10%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10% </w:t>
            </w:r>
          </w:p>
        </w:tc>
      </w:tr>
      <w:tr w:rsidR="00013FC1" w:rsidRPr="000F1B9F" w:rsidTr="00013FC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Penicillin/Streptomycin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1%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13FC1" w:rsidRPr="000F1B9F" w:rsidRDefault="00013FC1">
            <w:pPr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0F1B9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1% </w:t>
            </w:r>
          </w:p>
        </w:tc>
      </w:tr>
    </w:tbl>
    <w:p w:rsidR="00A87B7F" w:rsidRPr="000F1B9F" w:rsidRDefault="00CE1ACF">
      <w:pPr>
        <w:pStyle w:val="NormalWeb"/>
        <w:ind w:left="1050"/>
        <w:rPr>
          <w:rFonts w:asciiTheme="minorHAnsi" w:hAnsiTheme="minorHAnsi" w:cs="Arial"/>
          <w:sz w:val="20"/>
          <w:szCs w:val="20"/>
        </w:rPr>
      </w:pPr>
      <w:r w:rsidRPr="000F1B9F">
        <w:rPr>
          <w:rFonts w:asciiTheme="minorHAnsi" w:hAnsiTheme="minorHAnsi" w:cs="Arial"/>
          <w:sz w:val="20"/>
          <w:szCs w:val="20"/>
        </w:rPr>
        <w:t>1.2. Thawing method</w:t>
      </w:r>
    </w:p>
    <w:p w:rsidR="00A87B7F" w:rsidRPr="000F1B9F" w:rsidRDefault="004E1EA4">
      <w:pPr>
        <w:divId w:val="1074208150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1.2.1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Place 14 mL of pre</w:t>
      </w:r>
      <w:r w:rsidR="000F1B9F" w:rsidRPr="000F1B9F">
        <w:rPr>
          <w:rFonts w:asciiTheme="minorHAnsi" w:eastAsia="Times New Roman" w:hAnsiTheme="minorHAnsi" w:cs="Arial"/>
          <w:sz w:val="20"/>
          <w:szCs w:val="20"/>
        </w:rPr>
        <w:t>-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warmed thaw medium into a T75 flask</w:t>
      </w:r>
    </w:p>
    <w:p w:rsidR="00A87B7F" w:rsidRPr="000F1B9F" w:rsidRDefault="004E1EA4" w:rsidP="000F1B9F">
      <w:pPr>
        <w:divId w:val="416443997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1.2.2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Remove the vial of cells from liquid nitrogen and thaw rapidly by placing at 37°C in a water bath with gentle agitation for 1</w:t>
      </w:r>
      <w:r w:rsidR="000F1B9F" w:rsidRPr="000F1B9F">
        <w:rPr>
          <w:rFonts w:asciiTheme="minorHAnsi" w:eastAsia="Times New Roman" w:hAnsiTheme="minorHAnsi" w:cs="Arial"/>
          <w:sz w:val="20"/>
          <w:szCs w:val="20"/>
        </w:rPr>
        <w:t>-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2 minutes. Do not submerge vial in water.</w:t>
      </w:r>
    </w:p>
    <w:p w:rsidR="00A87B7F" w:rsidRPr="000F1B9F" w:rsidRDefault="004E1EA4">
      <w:pPr>
        <w:divId w:val="10961462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1.2.3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Decontaminate the vial by wiping with 70% ethanol before opening in a biological safety cabinet.</w:t>
      </w:r>
    </w:p>
    <w:p w:rsidR="00A87B7F" w:rsidRPr="000F1B9F" w:rsidRDefault="004E1EA4">
      <w:pPr>
        <w:divId w:val="1005746182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1.2.4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Transfer the vial contents dropwise into 10 mL of Thaw Medium in a sterile 15mL conical tub</w:t>
      </w:r>
    </w:p>
    <w:p w:rsidR="00A87B7F" w:rsidRPr="000F1B9F" w:rsidRDefault="004E1EA4">
      <w:pPr>
        <w:divId w:val="437912093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>1.2.5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 Centrifuge cells at 1000 rpm for 4 minutes and </w:t>
      </w:r>
      <w:proofErr w:type="spellStart"/>
      <w:r w:rsidR="00CE1ACF" w:rsidRPr="000F1B9F">
        <w:rPr>
          <w:rFonts w:asciiTheme="minorHAnsi" w:eastAsia="Times New Roman" w:hAnsiTheme="minorHAnsi" w:cs="Arial"/>
          <w:sz w:val="20"/>
          <w:szCs w:val="20"/>
        </w:rPr>
        <w:t>resuspend</w:t>
      </w:r>
      <w:proofErr w:type="spellEnd"/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 in thaw medium</w:t>
      </w:r>
    </w:p>
    <w:p w:rsidR="00A87B7F" w:rsidRPr="000F1B9F" w:rsidRDefault="004E1EA4">
      <w:pPr>
        <w:divId w:val="612635508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1.2.6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Transfer contents to the T75 tissue culture flask containing Thaw Medium and place flask in a humidified 37°C/5% CO2 incubator.</w:t>
      </w:r>
    </w:p>
    <w:p w:rsidR="00A87B7F" w:rsidRPr="000F1B9F" w:rsidRDefault="00CE1ACF">
      <w:pPr>
        <w:pStyle w:val="NormalWeb"/>
        <w:ind w:left="1050"/>
        <w:rPr>
          <w:rFonts w:asciiTheme="minorHAnsi" w:hAnsiTheme="minorHAnsi" w:cs="Arial"/>
          <w:sz w:val="20"/>
          <w:szCs w:val="20"/>
        </w:rPr>
      </w:pPr>
      <w:r w:rsidRPr="000F1B9F">
        <w:rPr>
          <w:rFonts w:asciiTheme="minorHAnsi" w:hAnsiTheme="minorHAnsi" w:cs="Arial"/>
          <w:sz w:val="20"/>
          <w:szCs w:val="20"/>
        </w:rPr>
        <w:t>1.3. Propagation method</w:t>
      </w:r>
    </w:p>
    <w:p w:rsidR="00A87B7F" w:rsidRPr="000F1B9F" w:rsidRDefault="004E1EA4" w:rsidP="000F1B9F">
      <w:pPr>
        <w:divId w:val="1660962089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1.3.1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Aspirate medium</w:t>
      </w:r>
      <w:r w:rsidRPr="000F1B9F">
        <w:rPr>
          <w:rFonts w:asciiTheme="minorHAnsi" w:eastAsia="Times New Roman" w:hAnsiTheme="minorHAnsi" w:cs="Arial"/>
          <w:sz w:val="20"/>
          <w:szCs w:val="20"/>
        </w:rPr>
        <w:t>, rinse once in DPBS, add 0.05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% Trypsin/EDTA</w:t>
      </w:r>
      <w:r w:rsidR="000F1B9F" w:rsidRPr="000F1B9F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and swirl to coat the cell evenly.</w:t>
      </w:r>
    </w:p>
    <w:p w:rsidR="00A87B7F" w:rsidRPr="000F1B9F" w:rsidRDefault="004E1EA4">
      <w:pPr>
        <w:divId w:val="1352806010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1.3.2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Add an equal volume of Growth Medium to inactivate Trypsin after 2</w:t>
      </w:r>
      <w:r w:rsidR="000F1B9F" w:rsidRPr="000F1B9F">
        <w:rPr>
          <w:rFonts w:asciiTheme="minorHAnsi" w:eastAsia="Times New Roman" w:hAnsiTheme="minorHAnsi" w:cs="Arial"/>
          <w:sz w:val="20"/>
          <w:szCs w:val="20"/>
        </w:rPr>
        <w:t>-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3 minutes incubation at 37°C.</w:t>
      </w:r>
    </w:p>
    <w:p w:rsidR="00A87B7F" w:rsidRPr="000F1B9F" w:rsidRDefault="004E1EA4">
      <w:pPr>
        <w:divId w:val="404567686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1.3.3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Centrifuge cells at 1000 rpm for 4 minutes and </w:t>
      </w:r>
      <w:proofErr w:type="spellStart"/>
      <w:r w:rsidR="00CE1ACF" w:rsidRPr="000F1B9F">
        <w:rPr>
          <w:rFonts w:asciiTheme="minorHAnsi" w:eastAsia="Times New Roman" w:hAnsiTheme="minorHAnsi" w:cs="Arial"/>
          <w:sz w:val="20"/>
          <w:szCs w:val="20"/>
        </w:rPr>
        <w:t>resuspend</w:t>
      </w:r>
      <w:proofErr w:type="spellEnd"/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 in growth medium</w:t>
      </w:r>
    </w:p>
    <w:p w:rsidR="00A87B7F" w:rsidRPr="000F1B9F" w:rsidRDefault="004E1EA4" w:rsidP="004E1EA4">
      <w:pPr>
        <w:divId w:val="1073235866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1.3.4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Cell should be passage or fed at least twice a week.</w:t>
      </w:r>
    </w:p>
    <w:p w:rsidR="00A87B7F" w:rsidRPr="000F1B9F" w:rsidRDefault="00CE1ACF">
      <w:pPr>
        <w:pStyle w:val="NormalWeb"/>
        <w:ind w:left="750"/>
        <w:rPr>
          <w:rFonts w:asciiTheme="minorHAnsi" w:hAnsiTheme="minorHAnsi" w:cs="Arial"/>
          <w:sz w:val="20"/>
          <w:szCs w:val="20"/>
        </w:rPr>
      </w:pPr>
      <w:r w:rsidRPr="000F1B9F">
        <w:rPr>
          <w:rFonts w:asciiTheme="minorHAnsi" w:hAnsiTheme="minorHAnsi" w:cs="Arial"/>
          <w:sz w:val="20"/>
          <w:szCs w:val="20"/>
        </w:rPr>
        <w:t>2. Assay Protocol</w:t>
      </w:r>
    </w:p>
    <w:p w:rsidR="00A87B7F" w:rsidRPr="000F1B9F" w:rsidRDefault="002E3279" w:rsidP="00133B00">
      <w:pPr>
        <w:ind w:left="390"/>
        <w:divId w:val="143205249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2.1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Harvest Hek293 cells and adjust the cell density to 600cells/well/6uL.</w:t>
      </w:r>
    </w:p>
    <w:p w:rsidR="00A87B7F" w:rsidRPr="000F1B9F" w:rsidRDefault="004E1EA4" w:rsidP="00133B00">
      <w:pPr>
        <w:ind w:left="390"/>
        <w:divId w:val="394011338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2.2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To prepare mixture of cell suspension and reagents for one 1536well plate, add 10ul of 1000x </w:t>
      </w:r>
      <w:proofErr w:type="spellStart"/>
      <w:r w:rsidR="00CE1ACF" w:rsidRPr="000F1B9F">
        <w:rPr>
          <w:rFonts w:asciiTheme="minorHAnsi" w:eastAsia="Times New Roman" w:hAnsiTheme="minorHAnsi" w:cs="Arial"/>
          <w:sz w:val="20"/>
          <w:szCs w:val="20"/>
        </w:rPr>
        <w:t>CellTox</w:t>
      </w:r>
      <w:proofErr w:type="spellEnd"/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 Green dye, 10ul of 1000x </w:t>
      </w:r>
      <w:proofErr w:type="spellStart"/>
      <w:r w:rsidR="00CE1ACF" w:rsidRPr="000F1B9F">
        <w:rPr>
          <w:rFonts w:asciiTheme="minorHAnsi" w:eastAsia="Times New Roman" w:hAnsiTheme="minorHAnsi" w:cs="Arial"/>
          <w:sz w:val="20"/>
          <w:szCs w:val="20"/>
        </w:rPr>
        <w:t>NanoLuc</w:t>
      </w:r>
      <w:proofErr w:type="spellEnd"/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, and 10ul of 1000x Metabolic Cell Viability Substrate per 10ml of cell suspension. This dilution brings </w:t>
      </w:r>
      <w:r w:rsidRPr="000F1B9F">
        <w:rPr>
          <w:rFonts w:asciiTheme="minorHAnsi" w:eastAsia="Times New Roman" w:hAnsiTheme="minorHAnsi" w:cs="Arial"/>
          <w:sz w:val="20"/>
          <w:szCs w:val="20"/>
        </w:rPr>
        <w:t xml:space="preserve">  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each component to 1x concentration.</w:t>
      </w:r>
    </w:p>
    <w:p w:rsidR="00A87B7F" w:rsidRPr="000F1B9F" w:rsidRDefault="004E1EA4" w:rsidP="00133B00">
      <w:pPr>
        <w:ind w:left="390"/>
        <w:divId w:val="1127352929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2.3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Plate 6ul of mixture of reagents and cell suspension prepared in step 2 into each wells of 1536</w:t>
      </w:r>
      <w:r w:rsidR="000F1B9F" w:rsidRPr="000F1B9F">
        <w:rPr>
          <w:rFonts w:asciiTheme="minorHAnsi" w:eastAsia="Times New Roman" w:hAnsiTheme="minorHAnsi" w:cs="Arial"/>
          <w:sz w:val="20"/>
          <w:szCs w:val="20"/>
        </w:rPr>
        <w:t>-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well tissue culture treated black solid bottom plate using a </w:t>
      </w:r>
      <w:proofErr w:type="spellStart"/>
      <w:r w:rsidR="00CE1ACF" w:rsidRPr="000F1B9F">
        <w:rPr>
          <w:rFonts w:asciiTheme="minorHAnsi" w:eastAsia="Times New Roman" w:hAnsiTheme="minorHAnsi" w:cs="Arial"/>
          <w:sz w:val="20"/>
          <w:szCs w:val="20"/>
        </w:rPr>
        <w:t>Multidrop</w:t>
      </w:r>
      <w:proofErr w:type="spellEnd"/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 Dispenser.</w:t>
      </w:r>
    </w:p>
    <w:p w:rsidR="00A87B7F" w:rsidRPr="000F1B9F" w:rsidRDefault="004E1EA4" w:rsidP="00133B00">
      <w:pPr>
        <w:ind w:left="390"/>
        <w:divId w:val="1036539339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2.4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After the cells were incubated at 37°C for 5 hours, 23 </w:t>
      </w:r>
      <w:proofErr w:type="spellStart"/>
      <w:proofErr w:type="gramStart"/>
      <w:r w:rsidR="00CE1ACF" w:rsidRPr="000F1B9F">
        <w:rPr>
          <w:rFonts w:asciiTheme="minorHAnsi" w:eastAsia="Times New Roman" w:hAnsiTheme="minorHAnsi" w:cs="Arial"/>
          <w:sz w:val="20"/>
          <w:szCs w:val="20"/>
        </w:rPr>
        <w:t>nL</w:t>
      </w:r>
      <w:proofErr w:type="spellEnd"/>
      <w:proofErr w:type="gramEnd"/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 of compounds dissolved in DMSO, positive controls or DMSO were transferred to the assay plate by a </w:t>
      </w:r>
      <w:proofErr w:type="spellStart"/>
      <w:r w:rsidR="00CE1ACF" w:rsidRPr="000F1B9F">
        <w:rPr>
          <w:rFonts w:asciiTheme="minorHAnsi" w:eastAsia="Times New Roman" w:hAnsiTheme="minorHAnsi" w:cs="Arial"/>
          <w:sz w:val="20"/>
          <w:szCs w:val="20"/>
        </w:rPr>
        <w:t>PinTool</w:t>
      </w:r>
      <w:proofErr w:type="spellEnd"/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 resulting in a 217</w:t>
      </w:r>
      <w:r w:rsidR="000F1B9F" w:rsidRPr="000F1B9F">
        <w:rPr>
          <w:rFonts w:asciiTheme="minorHAnsi" w:eastAsia="Times New Roman" w:hAnsiTheme="minorHAnsi" w:cs="Arial"/>
          <w:sz w:val="20"/>
          <w:szCs w:val="20"/>
        </w:rPr>
        <w:t>-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fold dilution. </w:t>
      </w:r>
    </w:p>
    <w:p w:rsidR="00A87B7F" w:rsidRPr="000F1B9F" w:rsidRDefault="004E1EA4" w:rsidP="00133B00">
      <w:pPr>
        <w:ind w:left="390"/>
        <w:divId w:val="1871407801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 xml:space="preserve">2.5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>Incubate the plates at 37C, 5% CO2</w:t>
      </w:r>
    </w:p>
    <w:p w:rsidR="00A87B7F" w:rsidRPr="000F1B9F" w:rsidRDefault="004E1EA4" w:rsidP="00133B00">
      <w:pPr>
        <w:ind w:left="390"/>
        <w:divId w:val="1708792501"/>
        <w:rPr>
          <w:rFonts w:asciiTheme="minorHAnsi" w:eastAsia="Times New Roman" w:hAnsiTheme="minorHAnsi" w:cs="Arial"/>
          <w:sz w:val="20"/>
          <w:szCs w:val="20"/>
        </w:rPr>
      </w:pPr>
      <w:r w:rsidRPr="000F1B9F">
        <w:rPr>
          <w:rFonts w:asciiTheme="minorHAnsi" w:eastAsia="Times New Roman" w:hAnsiTheme="minorHAnsi" w:cs="Arial"/>
          <w:sz w:val="20"/>
          <w:szCs w:val="20"/>
        </w:rPr>
        <w:t>2.6</w:t>
      </w:r>
      <w:r w:rsidR="002E3279" w:rsidRPr="000F1B9F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CE1ACF" w:rsidRPr="000F1B9F">
        <w:rPr>
          <w:rFonts w:asciiTheme="minorHAnsi" w:eastAsia="Times New Roman" w:hAnsiTheme="minorHAnsi" w:cs="Arial"/>
          <w:sz w:val="20"/>
          <w:szCs w:val="20"/>
        </w:rPr>
        <w:t xml:space="preserve">Measure fluorescence or luminescence after pinning at 0h, 8h, 16h, 24h, 32h and 40h time points by </w:t>
      </w:r>
      <w:proofErr w:type="spellStart"/>
      <w:r w:rsidR="00CE1ACF" w:rsidRPr="000F1B9F">
        <w:rPr>
          <w:rFonts w:asciiTheme="minorHAnsi" w:eastAsia="Times New Roman" w:hAnsiTheme="minorHAnsi" w:cs="Arial"/>
          <w:sz w:val="20"/>
          <w:szCs w:val="20"/>
        </w:rPr>
        <w:t>ViewLux</w:t>
      </w:r>
      <w:proofErr w:type="spellEnd"/>
      <w:r w:rsidR="00CE1ACF" w:rsidRPr="000F1B9F">
        <w:rPr>
          <w:rFonts w:asciiTheme="minorHAnsi" w:eastAsia="Times New Roman" w:hAnsiTheme="minorHAnsi" w:cs="Arial"/>
          <w:sz w:val="20"/>
          <w:szCs w:val="20"/>
        </w:rPr>
        <w:t>.</w:t>
      </w:r>
    </w:p>
    <w:p w:rsidR="00CE1ACF" w:rsidRPr="000F1B9F" w:rsidRDefault="00CE1ACF" w:rsidP="00133B00">
      <w:pPr>
        <w:spacing w:after="240"/>
        <w:ind w:left="720"/>
        <w:rPr>
          <w:rFonts w:asciiTheme="minorHAnsi" w:eastAsia="Times New Roman" w:hAnsiTheme="minorHAnsi" w:cs="Arial"/>
          <w:color w:val="000000"/>
          <w:sz w:val="20"/>
          <w:szCs w:val="20"/>
        </w:rPr>
      </w:pPr>
      <w:r w:rsidRPr="000F1B9F">
        <w:rPr>
          <w:rFonts w:asciiTheme="minorHAnsi" w:eastAsia="Times New Roman" w:hAnsiTheme="minorHAnsi"/>
          <w:sz w:val="20"/>
          <w:szCs w:val="20"/>
        </w:rPr>
        <w:br/>
      </w:r>
      <w:r w:rsidR="00133B00" w:rsidRPr="000F1B9F">
        <w:rPr>
          <w:rFonts w:asciiTheme="minorHAnsi" w:eastAsia="Times New Roman" w:hAnsiTheme="minorHAnsi" w:cs="Arial"/>
          <w:color w:val="000000"/>
          <w:sz w:val="20"/>
          <w:szCs w:val="20"/>
        </w:rPr>
        <w:t>3. Assay Performance</w:t>
      </w:r>
    </w:p>
    <w:p w:rsidR="004E1EA4" w:rsidRPr="000F1B9F" w:rsidRDefault="004E1EA4" w:rsidP="004E1EA4">
      <w:pPr>
        <w:pStyle w:val="ListParagraph"/>
        <w:numPr>
          <w:ilvl w:val="0"/>
          <w:numId w:val="1"/>
        </w:numPr>
        <w:spacing w:after="240"/>
        <w:rPr>
          <w:rFonts w:asciiTheme="minorHAnsi" w:eastAsia="Times New Roman" w:hAnsiTheme="minorHAnsi"/>
          <w:sz w:val="20"/>
          <w:szCs w:val="20"/>
        </w:rPr>
      </w:pPr>
      <w:r w:rsidRPr="000F1B9F">
        <w:rPr>
          <w:rFonts w:asciiTheme="minorHAnsi" w:eastAsia="Times New Roman" w:hAnsiTheme="minorHAnsi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3D66A6E2" wp14:editId="261D0CFC">
            <wp:simplePos x="0" y="0"/>
            <wp:positionH relativeFrom="column">
              <wp:posOffset>948055</wp:posOffset>
            </wp:positionH>
            <wp:positionV relativeFrom="paragraph">
              <wp:posOffset>252095</wp:posOffset>
            </wp:positionV>
            <wp:extent cx="5943600" cy="979170"/>
            <wp:effectExtent l="0" t="0" r="0" b="0"/>
            <wp:wrapNone/>
            <wp:docPr id="3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l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0F1B9F">
        <w:rPr>
          <w:rFonts w:asciiTheme="minorHAnsi" w:eastAsia="Times New Roman" w:hAnsiTheme="minorHAnsi"/>
          <w:bCs/>
          <w:sz w:val="20"/>
          <w:szCs w:val="20"/>
        </w:rPr>
        <w:t>RealTime-Glo</w:t>
      </w:r>
      <w:proofErr w:type="spellEnd"/>
      <w:r w:rsidRPr="000F1B9F">
        <w:rPr>
          <w:rFonts w:asciiTheme="minorHAnsi" w:eastAsia="Times New Roman" w:hAnsiTheme="minorHAnsi"/>
          <w:bCs/>
          <w:sz w:val="20"/>
          <w:szCs w:val="20"/>
        </w:rPr>
        <w:t>™ MT Cell Viability Assay</w:t>
      </w:r>
    </w:p>
    <w:p w:rsidR="004E1EA4" w:rsidRPr="000F1B9F" w:rsidRDefault="004E1EA4" w:rsidP="004E1EA4">
      <w:pPr>
        <w:spacing w:after="240"/>
        <w:rPr>
          <w:rFonts w:asciiTheme="minorHAnsi" w:eastAsia="Times New Roman" w:hAnsiTheme="minorHAnsi"/>
          <w:sz w:val="20"/>
          <w:szCs w:val="20"/>
        </w:rPr>
      </w:pPr>
    </w:p>
    <w:p w:rsidR="004E1EA4" w:rsidRPr="000F1B9F" w:rsidRDefault="004E1EA4" w:rsidP="004E1EA4">
      <w:pPr>
        <w:spacing w:after="240"/>
        <w:rPr>
          <w:rFonts w:asciiTheme="minorHAnsi" w:eastAsia="Times New Roman" w:hAnsiTheme="minorHAnsi"/>
          <w:sz w:val="20"/>
          <w:szCs w:val="20"/>
        </w:rPr>
      </w:pPr>
    </w:p>
    <w:p w:rsidR="004E1EA4" w:rsidRPr="000F1B9F" w:rsidRDefault="004E1EA4" w:rsidP="004E1EA4">
      <w:pPr>
        <w:spacing w:after="240"/>
        <w:rPr>
          <w:rFonts w:asciiTheme="minorHAnsi" w:eastAsia="Times New Roman" w:hAnsiTheme="minorHAnsi"/>
          <w:sz w:val="20"/>
          <w:szCs w:val="20"/>
        </w:rPr>
      </w:pPr>
      <w:bookmarkStart w:id="0" w:name="_GoBack"/>
      <w:bookmarkEnd w:id="0"/>
    </w:p>
    <w:p w:rsidR="004E1EA4" w:rsidRPr="000F1B9F" w:rsidRDefault="004E1EA4" w:rsidP="004E1EA4">
      <w:pPr>
        <w:pStyle w:val="ListParagraph"/>
        <w:numPr>
          <w:ilvl w:val="0"/>
          <w:numId w:val="1"/>
        </w:numPr>
        <w:spacing w:after="240"/>
        <w:rPr>
          <w:rFonts w:asciiTheme="minorHAnsi" w:eastAsia="Times New Roman" w:hAnsiTheme="minorHAnsi"/>
          <w:sz w:val="20"/>
          <w:szCs w:val="20"/>
        </w:rPr>
      </w:pPr>
      <w:proofErr w:type="spellStart"/>
      <w:r w:rsidRPr="000F1B9F">
        <w:rPr>
          <w:rFonts w:asciiTheme="minorHAnsi" w:eastAsia="Times New Roman" w:hAnsiTheme="minorHAnsi"/>
          <w:bCs/>
          <w:sz w:val="20"/>
          <w:szCs w:val="20"/>
        </w:rPr>
        <w:t>CellTox</w:t>
      </w:r>
      <w:proofErr w:type="spellEnd"/>
      <w:r w:rsidRPr="000F1B9F">
        <w:rPr>
          <w:rFonts w:asciiTheme="minorHAnsi" w:eastAsia="Times New Roman" w:hAnsiTheme="minorHAnsi"/>
          <w:bCs/>
          <w:sz w:val="20"/>
          <w:szCs w:val="20"/>
        </w:rPr>
        <w:t>™ Green Cytotoxicity Assay</w:t>
      </w:r>
    </w:p>
    <w:p w:rsidR="004E1EA4" w:rsidRPr="004E1EA4" w:rsidRDefault="00BC3EB6" w:rsidP="00BC3EB6">
      <w:pPr>
        <w:spacing w:after="240"/>
        <w:ind w:left="1440"/>
        <w:rPr>
          <w:rFonts w:asciiTheme="minorHAnsi" w:eastAsia="Times New Roman" w:hAnsiTheme="minorHAnsi"/>
          <w:sz w:val="20"/>
          <w:szCs w:val="20"/>
        </w:rPr>
      </w:pPr>
      <w:r w:rsidRPr="000F1B9F">
        <w:rPr>
          <w:rFonts w:asciiTheme="minorHAnsi" w:hAnsiTheme="minorHAnsi"/>
          <w:sz w:val="20"/>
          <w:szCs w:val="20"/>
        </w:rPr>
        <w:drawing>
          <wp:inline distT="0" distB="0" distL="0" distR="0" wp14:anchorId="4D920629" wp14:editId="7603313A">
            <wp:extent cx="5947576" cy="99391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716" cy="996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1EA4" w:rsidRPr="004E1E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1531A"/>
    <w:multiLevelType w:val="hybridMultilevel"/>
    <w:tmpl w:val="C778BFA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33E3371"/>
    <w:multiLevelType w:val="hybridMultilevel"/>
    <w:tmpl w:val="647444CC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514"/>
    <w:rsid w:val="00013FC1"/>
    <w:rsid w:val="000F1B9F"/>
    <w:rsid w:val="00133B00"/>
    <w:rsid w:val="002E3279"/>
    <w:rsid w:val="00403C4F"/>
    <w:rsid w:val="004E1EA4"/>
    <w:rsid w:val="00782C4A"/>
    <w:rsid w:val="00A87B7F"/>
    <w:rsid w:val="00BC3EB6"/>
    <w:rsid w:val="00CE1ACF"/>
    <w:rsid w:val="00D32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E1E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3E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EB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E1E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3E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3EB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146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24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3700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512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1338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044"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768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997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2093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508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182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3933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5866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20815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2929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6010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2089">
      <w:marLeft w:val="15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50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7801">
      <w:marLeft w:val="10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Zhao</dc:creator>
  <cp:lastModifiedBy>Jean Zhao</cp:lastModifiedBy>
  <cp:revision>4</cp:revision>
  <dcterms:created xsi:type="dcterms:W3CDTF">2016-09-20T14:39:00Z</dcterms:created>
  <dcterms:modified xsi:type="dcterms:W3CDTF">2016-09-20T15:42:00Z</dcterms:modified>
</cp:coreProperties>
</file>